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66AF407C"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от____________202</w:t>
      </w:r>
      <w:r w:rsidR="00165102">
        <w:rPr>
          <w:rFonts w:ascii="Times New Roman" w:eastAsia="Times New Roman" w:hAnsi="Times New Roman" w:cs="Times New Roman"/>
          <w:sz w:val="26"/>
          <w:szCs w:val="26"/>
          <w:lang w:eastAsia="ru-RU"/>
        </w:rPr>
        <w:t>2</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27"/>
      <w:bookmarkEnd w:id="6"/>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lastRenderedPageBreak/>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7" w:name="P132"/>
      <w:bookmarkEnd w:id="7"/>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w:t>
      </w:r>
      <w:r w:rsidR="008D0DD0" w:rsidRPr="008C7993">
        <w:rPr>
          <w:rFonts w:ascii="Times New Roman" w:eastAsia="Times New Roman" w:hAnsi="Times New Roman" w:cs="Times New Roman"/>
          <w:sz w:val="26"/>
          <w:szCs w:val="26"/>
          <w:lang w:eastAsia="ru-RU"/>
        </w:rPr>
        <w:lastRenderedPageBreak/>
        <w:t xml:space="preserve">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lastRenderedPageBreak/>
        <w:t xml:space="preserve">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w:t>
      </w:r>
      <w:r w:rsidR="008D0DD0" w:rsidRPr="00174700">
        <w:rPr>
          <w:rFonts w:ascii="Times New Roman" w:eastAsia="Times New Roman" w:hAnsi="Times New Roman" w:cs="Times New Roman"/>
          <w:sz w:val="26"/>
          <w:szCs w:val="26"/>
          <w:lang w:eastAsia="ru-RU"/>
        </w:rPr>
        <w:lastRenderedPageBreak/>
        <w:t xml:space="preserve">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58"/>
      <w:bookmarkEnd w:id="8"/>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lastRenderedPageBreak/>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9" w:name="P176"/>
      <w:bookmarkEnd w:id="9"/>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подавшему заявку на </w:t>
      </w:r>
      <w:r w:rsidRPr="00174700">
        <w:rPr>
          <w:rFonts w:ascii="Times New Roman" w:eastAsia="Times New Roman" w:hAnsi="Times New Roman" w:cs="Times New Roman"/>
          <w:sz w:val="26"/>
          <w:szCs w:val="26"/>
          <w:lang w:eastAsia="ru-RU"/>
        </w:rPr>
        <w:lastRenderedPageBreak/>
        <w:t>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не позднее рабочего дня, следующего </w:t>
      </w:r>
      <w:r w:rsidRPr="00174700">
        <w:rPr>
          <w:rFonts w:ascii="Times New Roman" w:eastAsia="Times New Roman" w:hAnsi="Times New Roman" w:cs="Times New Roman"/>
          <w:sz w:val="26"/>
          <w:szCs w:val="26"/>
          <w:lang w:eastAsia="ru-RU"/>
        </w:rPr>
        <w:lastRenderedPageBreak/>
        <w:t>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345"/>
      <w:bookmarkEnd w:id="10"/>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P346"/>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347"/>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3" w:name="P354"/>
      <w:bookmarkEnd w:id="13"/>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xml:space="preserve">. Участник закупки вправе обжаловать результаты закупки в порядке, </w:t>
      </w:r>
      <w:r w:rsidRPr="00174700">
        <w:rPr>
          <w:rFonts w:ascii="Times New Roman" w:eastAsia="Times New Roman" w:hAnsi="Times New Roman" w:cs="Times New Roman"/>
          <w:sz w:val="26"/>
          <w:szCs w:val="26"/>
          <w:lang w:eastAsia="ru-RU"/>
        </w:rPr>
        <w:lastRenderedPageBreak/>
        <w:t>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634DFA8C"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ПТО                                                </w:t>
      </w:r>
      <w:r w:rsidR="00165102">
        <w:rPr>
          <w:rFonts w:ascii="Times New Roman" w:eastAsia="Times New Roman" w:hAnsi="Times New Roman" w:cs="Times New Roman"/>
          <w:sz w:val="26"/>
          <w:szCs w:val="26"/>
          <w:lang w:eastAsia="ru-RU"/>
        </w:rPr>
        <w:t>К.В. Власенко</w:t>
      </w:r>
      <w:bookmarkStart w:id="14" w:name="_GoBack"/>
      <w:bookmarkEnd w:id="14"/>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w:t>
      </w:r>
      <w:r w:rsidRPr="00174700">
        <w:rPr>
          <w:rFonts w:ascii="Times New Roman" w:eastAsia="Times New Roman" w:hAnsi="Times New Roman" w:cs="Times New Roman"/>
          <w:sz w:val="26"/>
          <w:szCs w:val="26"/>
          <w:lang w:eastAsia="ru-RU"/>
        </w:rPr>
        <w:lastRenderedPageBreak/>
        <w:t>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65102"/>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454D5-8F98-4EFD-A606-53F08184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6446</Words>
  <Characters>36745</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Порядок </vt:lpstr>
      <vt:lpstr>привлечения управляющей организацией ООО «СеверныйБыт» подрядных организаций для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к Типовому Порядку привлечения управляющими организациями, товариществами собств</vt:lpstr>
      <vt:lpstr/>
      <vt:lpstr/>
      <vt:lpstr>Приложение № 2 </vt:lpstr>
      <vt:lpstr>к Типовому Порядку привлечения управляющими организациями, товариществами собств</vt:lpstr>
      <vt:lpstr/>
      <vt:lpstr>Приложение № 3 </vt:lpstr>
      <vt:lpstr>к Типовому Порядку привлечения управляющими организациями, товариществами собств</vt:lpstr>
      <vt:lpstr/>
    </vt:vector>
  </TitlesOfParts>
  <Company/>
  <LinksUpToDate>false</LinksUpToDate>
  <CharactersWithSpaces>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teh05</cp:lastModifiedBy>
  <cp:revision>15</cp:revision>
  <cp:lastPrinted>2017-05-12T06:19:00Z</cp:lastPrinted>
  <dcterms:created xsi:type="dcterms:W3CDTF">2017-05-12T04:25:00Z</dcterms:created>
  <dcterms:modified xsi:type="dcterms:W3CDTF">2022-07-21T05:05:00Z</dcterms:modified>
</cp:coreProperties>
</file>